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E1C5C2">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房屋建筑赋码到套（户）导则（试行）</w:t>
      </w:r>
    </w:p>
    <w:p w14:paraId="7C37BA34">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bookmarkStart w:id="1" w:name="_GoBack"/>
      <w:bookmarkEnd w:id="1"/>
    </w:p>
    <w:p w14:paraId="685E0116">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sz w:val="32"/>
          <w:szCs w:val="32"/>
          <w:lang w:val="en-US" w:eastAsia="zh-CN"/>
        </w:rPr>
      </w:pPr>
      <w:r>
        <w:rPr>
          <w:rFonts w:hint="eastAsia" w:ascii="仿宋" w:hAnsi="仿宋" w:eastAsia="仿宋" w:cs="仿宋"/>
          <w:color w:val="auto"/>
          <w:sz w:val="32"/>
          <w:szCs w:val="32"/>
          <w:lang w:val="en-US" w:eastAsia="zh-CN"/>
        </w:rPr>
        <w:t>为</w:t>
      </w:r>
      <w:r>
        <w:rPr>
          <w:rFonts w:hint="eastAsia" w:ascii="仿宋" w:hAnsi="仿宋" w:eastAsia="仿宋" w:cs="仿宋"/>
          <w:color w:val="auto"/>
          <w:sz w:val="32"/>
          <w:szCs w:val="32"/>
          <w:lang w:eastAsia="zh-CN"/>
        </w:rPr>
        <w:t>推动</w:t>
      </w:r>
      <w:r>
        <w:rPr>
          <w:rFonts w:hint="eastAsia" w:ascii="仿宋" w:hAnsi="仿宋" w:eastAsia="仿宋" w:cs="仿宋"/>
          <w:color w:val="auto"/>
          <w:sz w:val="32"/>
          <w:szCs w:val="32"/>
        </w:rPr>
        <w:t>房屋建筑</w:t>
      </w:r>
      <w:r>
        <w:rPr>
          <w:rFonts w:hint="eastAsia" w:ascii="仿宋" w:hAnsi="仿宋" w:eastAsia="仿宋" w:cs="仿宋"/>
          <w:color w:val="auto"/>
          <w:sz w:val="32"/>
          <w:szCs w:val="32"/>
          <w:lang w:eastAsia="zh-CN"/>
        </w:rPr>
        <w:t>统一</w:t>
      </w:r>
      <w:r>
        <w:rPr>
          <w:rFonts w:hint="eastAsia" w:ascii="仿宋" w:hAnsi="仿宋" w:eastAsia="仿宋" w:cs="仿宋"/>
          <w:color w:val="auto"/>
          <w:sz w:val="32"/>
          <w:szCs w:val="32"/>
        </w:rPr>
        <w:t>赋码拓展到套（户）</w:t>
      </w:r>
      <w:r>
        <w:rPr>
          <w:rFonts w:hint="eastAsia" w:ascii="仿宋" w:hAnsi="仿宋" w:eastAsia="仿宋" w:cs="仿宋"/>
          <w:color w:val="auto"/>
          <w:sz w:val="32"/>
          <w:szCs w:val="32"/>
          <w:lang w:val="en-US" w:eastAsia="zh-CN"/>
        </w:rPr>
        <w:t>并生成房屋码，根据《住房城乡建设部、国家数据局关于全面建立房屋建筑统一代码制度的通知》要求，在《房屋建筑统一编码与基本属性数据标准》（JGJ/T496-2022）的基础上,制定本导则（试行）。</w:t>
      </w:r>
    </w:p>
    <w:p w14:paraId="4A9FB16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适用范围</w:t>
      </w:r>
    </w:p>
    <w:p w14:paraId="42F2D904">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本导则适用于城镇房屋，包含以套（户）为单位的房屋编码规则、赋码实施路径、房屋码应用与采集等。</w:t>
      </w:r>
    </w:p>
    <w:p w14:paraId="54DFB19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编码规则</w:t>
      </w:r>
    </w:p>
    <w:p w14:paraId="55AA0BF7">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在《房屋建筑统一编码与基本属性数据标准》18位房屋建筑统一代码的基础上，增加10位，包括：单元、楼层、房号、属性，形成28位房屋码。</w:t>
      </w:r>
    </w:p>
    <w:p w14:paraId="1B916FF9">
      <w:pPr>
        <w:pStyle w:val="4"/>
        <w:keepNext w:val="0"/>
        <w:keepLines w:val="0"/>
        <w:pageBreakBefore w:val="0"/>
        <w:widowControl w:val="0"/>
        <w:kinsoku/>
        <w:wordWrap/>
        <w:overflowPunct/>
        <w:topLinePunct w:val="0"/>
        <w:autoSpaceDE/>
        <w:autoSpaceDN/>
        <w:bidi w:val="0"/>
        <w:adjustRightInd/>
        <w:snapToGrid/>
        <w:spacing w:after="0" w:line="500" w:lineRule="exact"/>
        <w:ind w:left="0" w:leftChars="0" w:firstLine="0" w:firstLineChars="0"/>
        <w:jc w:val="center"/>
        <w:textAlignment w:val="auto"/>
        <w:outlineLvl w:val="9"/>
        <w:rPr>
          <w:rFonts w:hint="eastAsia" w:ascii="仿宋" w:hAnsi="仿宋" w:eastAsia="仿宋" w:cs="仿宋"/>
          <w:color w:val="auto"/>
          <w:kern w:val="2"/>
          <w:sz w:val="30"/>
          <w:szCs w:val="30"/>
          <w:lang w:val="en-US" w:eastAsia="zh-CN" w:bidi="ar-SA"/>
        </w:rPr>
      </w:pPr>
      <w:r>
        <w:drawing>
          <wp:anchor distT="0" distB="0" distL="114300" distR="114300" simplePos="0" relativeHeight="251659264" behindDoc="0" locked="0" layoutInCell="1" allowOverlap="1">
            <wp:simplePos x="0" y="0"/>
            <wp:positionH relativeFrom="column">
              <wp:posOffset>1162050</wp:posOffset>
            </wp:positionH>
            <wp:positionV relativeFrom="paragraph">
              <wp:posOffset>100965</wp:posOffset>
            </wp:positionV>
            <wp:extent cx="3277235" cy="720090"/>
            <wp:effectExtent l="0" t="0" r="14605" b="11430"/>
            <wp:wrapTopAndBottom/>
            <wp:docPr id="2" name="图片 1" descr="C:/Users/huang/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huang/Desktop/图片1.png图片1"/>
                    <pic:cNvPicPr>
                      <a:picLocks noChangeAspect="1"/>
                    </pic:cNvPicPr>
                  </pic:nvPicPr>
                  <pic:blipFill>
                    <a:blip r:embed="rId7"/>
                    <a:srcRect l="44" r="44"/>
                    <a:stretch>
                      <a:fillRect/>
                    </a:stretch>
                  </pic:blipFill>
                  <pic:spPr>
                    <a:xfrm>
                      <a:off x="0" y="0"/>
                      <a:ext cx="3277235" cy="720090"/>
                    </a:xfrm>
                    <a:prstGeom prst="rect">
                      <a:avLst/>
                    </a:prstGeom>
                    <a:noFill/>
                    <a:ln>
                      <a:noFill/>
                    </a:ln>
                  </pic:spPr>
                </pic:pic>
              </a:graphicData>
            </a:graphic>
          </wp:anchor>
        </w:drawing>
      </w:r>
      <w:r>
        <w:rPr>
          <w:rFonts w:hint="eastAsia" w:ascii="仿宋" w:hAnsi="仿宋" w:eastAsia="仿宋" w:cs="仿宋"/>
          <w:color w:val="auto"/>
          <w:kern w:val="2"/>
          <w:sz w:val="30"/>
          <w:szCs w:val="30"/>
          <w:lang w:val="en-US" w:eastAsia="zh-CN" w:bidi="ar-SA"/>
        </w:rPr>
        <w:t>图示：房屋编码规则</w:t>
      </w:r>
    </w:p>
    <w:p w14:paraId="452BC0A7">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pacing w:val="1"/>
          <w:w w:val="99"/>
          <w:kern w:val="0"/>
          <w:sz w:val="32"/>
          <w:szCs w:val="32"/>
          <w:fitText w:val="6272" w:id="787549625"/>
          <w:lang w:val="en-US" w:eastAsia="zh-CN"/>
        </w:rPr>
        <w:t>单元码，2位，以具体数字代表单元顺序号</w:t>
      </w:r>
      <w:r>
        <w:rPr>
          <w:rFonts w:hint="eastAsia" w:ascii="仿宋" w:hAnsi="仿宋" w:eastAsia="仿宋" w:cs="仿宋"/>
          <w:color w:val="auto"/>
          <w:spacing w:val="3"/>
          <w:w w:val="99"/>
          <w:kern w:val="0"/>
          <w:sz w:val="32"/>
          <w:szCs w:val="32"/>
          <w:fitText w:val="6272" w:id="787549625"/>
          <w:lang w:val="en-US" w:eastAsia="zh-CN"/>
        </w:rPr>
        <w:t>，</w:t>
      </w:r>
      <w:r>
        <w:rPr>
          <w:rFonts w:hint="eastAsia" w:ascii="仿宋" w:hAnsi="仿宋" w:eastAsia="仿宋" w:cs="仿宋"/>
          <w:color w:val="auto"/>
          <w:sz w:val="32"/>
          <w:szCs w:val="32"/>
          <w:lang w:val="en-US" w:eastAsia="zh-CN"/>
        </w:rPr>
        <w:t>即01、02、03……以此类推，无法区分单元的用99表示。</w:t>
      </w:r>
    </w:p>
    <w:p w14:paraId="0B911D05">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楼层码，3位，以数字和字母代表，地上部分为001、002、003……以此类推，地下部分为B01、B02、B03……以此类推，无法区分楼层的可用M01、M02、M03……表示。</w:t>
      </w:r>
    </w:p>
    <w:p w14:paraId="66DC3CF7">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房号码，3位，以具体数字代表房屋顺序号，即001、002、003……以此类推。</w:t>
      </w:r>
    </w:p>
    <w:p w14:paraId="1CB6BD9B">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属性码，2位，根据房屋属性进行编码，住宅10、商业20、办公30、其他属性80、无法区分属性的用99表示。</w:t>
      </w:r>
    </w:p>
    <w:p w14:paraId="7D15624B">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房屋码赋码实施路径</w:t>
      </w:r>
    </w:p>
    <w:p w14:paraId="15DAFC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（一）新建房屋房屋码赋码</w:t>
      </w:r>
    </w:p>
    <w:p w14:paraId="7551C022">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color w:val="auto"/>
          <w:lang w:val="en-US" w:eastAsia="zh-CN"/>
        </w:rPr>
      </w:pPr>
      <w:r>
        <w:rPr>
          <w:rFonts w:hint="eastAsia" w:ascii="仿宋" w:hAnsi="仿宋" w:eastAsia="仿宋" w:cs="仿宋"/>
          <w:color w:val="auto"/>
          <w:sz w:val="32"/>
          <w:szCs w:val="32"/>
          <w:lang w:val="en-US" w:eastAsia="zh-CN"/>
        </w:rPr>
        <w:t>在商品房预售（现售）阶段、保障性住房配售配租阶段，依托测绘成果或楼盘表的套（户）房屋信息，在房屋建筑统一代码的基础上，按编码规则扩展生成28位到套（户）的房屋码。</w:t>
      </w:r>
    </w:p>
    <w:p w14:paraId="3974C4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楷体" w:hAnsi="楷体" w:eastAsia="楷体" w:cs="楷体"/>
          <w:color w:val="auto"/>
          <w:sz w:val="32"/>
          <w:szCs w:val="32"/>
          <w:lang w:val="en-US" w:eastAsia="zh-CN"/>
        </w:rPr>
      </w:pPr>
      <w:bookmarkStart w:id="0" w:name="OLE_LINK1"/>
      <w:r>
        <w:rPr>
          <w:rFonts w:hint="eastAsia" w:ascii="楷体" w:hAnsi="楷体" w:eastAsia="楷体" w:cs="楷体"/>
          <w:color w:val="auto"/>
          <w:sz w:val="32"/>
          <w:szCs w:val="32"/>
          <w:lang w:val="en-US" w:eastAsia="zh-CN"/>
        </w:rPr>
        <w:t>（二）</w:t>
      </w:r>
      <w:bookmarkEnd w:id="0"/>
      <w:r>
        <w:rPr>
          <w:rFonts w:hint="eastAsia" w:ascii="楷体" w:hAnsi="楷体" w:eastAsia="楷体" w:cs="楷体"/>
          <w:color w:val="auto"/>
          <w:sz w:val="32"/>
          <w:szCs w:val="32"/>
          <w:lang w:val="en-US" w:eastAsia="zh-CN"/>
        </w:rPr>
        <w:t>既有房屋房屋码赋码</w:t>
      </w:r>
    </w:p>
    <w:p w14:paraId="5271061E">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结合全国自然灾害综合风险普查房屋建筑和市政设施调查数据，在房屋建筑统一代码基础上，按编码规则扩展生成28位到套（户）的房屋码。</w:t>
      </w:r>
    </w:p>
    <w:p w14:paraId="695A98BD">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有楼盘表的建筑可通过地理空间或地名地址匹配实现楼盘表与房屋建筑统一代码挂接，推进既有房屋赋码。</w:t>
      </w:r>
    </w:p>
    <w:p w14:paraId="22B5ACC8">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无楼盘表的建筑可通过房屋普查、网格巡查、老旧小区改造入户调查、房屋租赁管理、房屋安全巡查、燃气入户安检等业务形成的房屋套（户）信息，推进既有房屋赋码。</w:t>
      </w:r>
    </w:p>
    <w:p w14:paraId="57A42B7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（三）房屋码变更</w:t>
      </w:r>
    </w:p>
    <w:p w14:paraId="3A6CABCC">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赋码后，房屋码原则上不再变更。因房屋套（户）出现分割或合并等情形确需变更的，新的房屋码应与旧码建立关联关系，并记录变更日志。</w:t>
      </w:r>
    </w:p>
    <w:p w14:paraId="62C1A86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（四）赋码空间底图</w:t>
      </w:r>
    </w:p>
    <w:p w14:paraId="5A54E1E9">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各级住房城乡建设部门应使用城市信息模型（CIM）基础平台作为赋码工作的空间底图；暂未建立CIM基础平台的，可依托全国房屋建筑和市政设施空间数据作为工作底图，确保房屋码与建筑单体精准挂接。</w:t>
      </w:r>
    </w:p>
    <w:p w14:paraId="6AC64B9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房屋码转换、应用与采集</w:t>
      </w:r>
    </w:p>
    <w:p w14:paraId="357B603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（一）房屋码转换</w:t>
      </w:r>
    </w:p>
    <w:p w14:paraId="5897964B">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在本导则发布前，按自有编码规则已实施房屋赋码的地区，应建立房屋码转换机制，确保原有编码与本导则编码形成映射关系。</w:t>
      </w:r>
    </w:p>
    <w:p w14:paraId="1231FE0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（二）房屋码应用</w:t>
      </w:r>
    </w:p>
    <w:p w14:paraId="25E01B6F">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各级住房城乡建设部门要在开展工程建设项目审批、施工建设、房地产交易网签、装修管理、物业管理、房屋安全管理、水气暖管理等房屋全生命周期管理业务中，推动房屋码的应用，促进数据共享利用。</w:t>
      </w:r>
    </w:p>
    <w:p w14:paraId="6D4AAFC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（三）房屋码采集</w:t>
      </w:r>
    </w:p>
    <w:p w14:paraId="2E1F7483">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住房城乡建设部将在全国房屋建筑和市政设施调查管理系统、全国房地产市场监测系统、国家工程建设项目审批管理系统、全国工程质量安全监管平台等涉及房屋信息的信息系统中同步采集房屋码，推动信息系统互联互通。</w:t>
      </w:r>
    </w:p>
    <w:p w14:paraId="4637F3B2"/>
    <w:sectPr>
      <w:footerReference r:id="rId5" w:type="default"/>
      <w:pgSz w:w="11906" w:h="16838"/>
      <w:pgMar w:top="2098" w:right="1474" w:bottom="1984" w:left="1587" w:header="851" w:footer="992" w:gutter="0"/>
      <w:pgNumType w:fmt="decimal"/>
      <w:cols w:space="0" w:num="1"/>
      <w:rtlGutter w:val="0"/>
      <w:docGrid w:type="lines" w:linePitch="49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720"/>
      </w:pPr>
      <w:r>
        <w:separator/>
      </w:r>
    </w:p>
  </w:endnote>
  <w:endnote w:type="continuationSeparator" w:id="1">
    <w:p>
      <w:pPr>
        <w:spacing w:line="240" w:lineRule="auto"/>
        <w:ind w:firstLine="7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AFF" w:usb1="C0007841" w:usb2="00000009" w:usb3="00000000" w:csb0="400001FF" w:csb1="FFFF0000"/>
  </w:font>
  <w:font w:name="宋体">
    <w:panose1 w:val="02010600030101010101"/>
    <w:charset w:val="80"/>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EB2E9">
    <w:pPr>
      <w:pStyle w:val="3"/>
      <w:ind w:right="562" w:rightChars="156"/>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175D45">
                          <w:pPr>
                            <w:pStyle w:val="3"/>
                            <w:wordWrap w:val="0"/>
                            <w:ind w:left="0" w:leftChars="0" w:right="-22" w:rightChars="-6" w:firstLine="280" w:firstLineChars="100"/>
                            <w:jc w:val="both"/>
                            <w:rPr>
                              <w:rFonts w:hint="eastAsia" w:ascii="宋体" w:hAnsi="宋体" w:eastAsia="宋体" w:cs="宋体"/>
                              <w:sz w:val="28"/>
                              <w:szCs w:val="28"/>
                              <w:lang w:val="en-US" w:eastAsia="zh-CN"/>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175D45">
                    <w:pPr>
                      <w:pStyle w:val="3"/>
                      <w:wordWrap w:val="0"/>
                      <w:ind w:left="0" w:leftChars="0" w:right="-22" w:rightChars="-6" w:firstLine="280" w:firstLineChars="100"/>
                      <w:jc w:val="both"/>
                      <w:rPr>
                        <w:rFonts w:hint="eastAsia" w:ascii="宋体" w:hAnsi="宋体" w:eastAsia="宋体" w:cs="宋体"/>
                        <w:sz w:val="28"/>
                        <w:szCs w:val="28"/>
                        <w:lang w:val="en-US" w:eastAsia="zh-CN"/>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720"/>
      </w:pPr>
      <w:r>
        <w:separator/>
      </w:r>
    </w:p>
  </w:footnote>
  <w:footnote w:type="continuationSeparator" w:id="1">
    <w:p>
      <w:pPr>
        <w:spacing w:line="240" w:lineRule="auto"/>
        <w:ind w:firstLine="7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ECC5D"/>
    <w:multiLevelType w:val="singleLevel"/>
    <w:tmpl w:val="BEBECC5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C34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20" w:lineRule="exact"/>
      <w:ind w:firstLine="880" w:firstLineChars="200"/>
      <w:jc w:val="both"/>
    </w:pPr>
    <w:rPr>
      <w:rFonts w:ascii="仿宋_GB2312" w:hAnsi="仿宋_GB2312" w:eastAsia="仿宋_GB2312" w:cstheme="minorBidi"/>
      <w:kern w:val="2"/>
      <w:sz w:val="36"/>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99"/>
    <w:pPr>
      <w:spacing w:after="120"/>
      <w:ind w:left="420" w:leftChars="200"/>
    </w:pPr>
    <w:rPr>
      <w:rFonts w:eastAsia="宋体" w:cs="宋体"/>
      <w:szCs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Body Text First Indent 2"/>
    <w:basedOn w:val="2"/>
    <w:qFormat/>
    <w:uiPriority w:val="99"/>
    <w:pPr>
      <w:spacing w:line="560" w:lineRule="exact"/>
      <w:ind w:left="0" w:leftChars="0" w:firstLine="420" w:firstLineChars="200"/>
    </w:pPr>
    <w:rPr>
      <w:rFonts w:ascii="仿宋_GB2312" w:hAnsi="仿宋_GB2312" w:eastAsia="仿宋_GB2312"/>
      <w:sz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2026-09-03T07:19:01Z</dcterms:created>
  <dc:creator>yanglinyi</dc:creator>
  <cp:lastModifiedBy>tinykerman</cp:lastModifiedBy>
  <dcterms:modified xsi:type="dcterms:W3CDTF">2026-09-03T07:22:38Z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eyJoZGlkIjoiYjkxZDFiOTYwY2FkZGZkNDgxMzdmMWNlMjJhODM1NGIiLCJ1c2VySWQiOiIyNDQ5ODgwNDMifQ==</vt:lpwstr>
  </property>
  <property fmtid="{D5CDD505-2E9C-101B-9397-08002B2CF9AE}" pid="4" name="ICV">
    <vt:lpwstr>62B0491B8BBD48AA891972764FF51E6B_12</vt:lpwstr>
  </property>
</Properties>
</file>